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41" w:rsidRDefault="00364941"/>
    <w:p w:rsidR="00364941" w:rsidRDefault="00364941"/>
    <w:p w:rsidR="00364941" w:rsidRDefault="00364941">
      <w:pPr>
        <w:rPr>
          <w:rFonts w:ascii="Times New Roman" w:hAnsi="Times New Roman" w:cs="Times New Roman"/>
          <w:sz w:val="32"/>
          <w:szCs w:val="32"/>
        </w:rPr>
      </w:pPr>
      <w:r w:rsidRPr="00364941">
        <w:rPr>
          <w:rFonts w:ascii="Times New Roman" w:hAnsi="Times New Roman" w:cs="Times New Roman"/>
          <w:sz w:val="32"/>
          <w:szCs w:val="32"/>
        </w:rPr>
        <w:t xml:space="preserve">Отчет главы </w:t>
      </w:r>
      <w:proofErr w:type="spellStart"/>
      <w:r w:rsidRPr="00364941">
        <w:rPr>
          <w:rFonts w:ascii="Times New Roman" w:hAnsi="Times New Roman" w:cs="Times New Roman"/>
          <w:sz w:val="32"/>
          <w:szCs w:val="32"/>
        </w:rPr>
        <w:t>Кирпильского</w:t>
      </w:r>
      <w:proofErr w:type="spellEnd"/>
      <w:r w:rsidRPr="00364941">
        <w:rPr>
          <w:rFonts w:ascii="Times New Roman" w:hAnsi="Times New Roman" w:cs="Times New Roman"/>
          <w:sz w:val="32"/>
          <w:szCs w:val="32"/>
        </w:rPr>
        <w:t xml:space="preserve"> сельского по</w:t>
      </w:r>
      <w:r>
        <w:rPr>
          <w:rFonts w:ascii="Times New Roman" w:hAnsi="Times New Roman" w:cs="Times New Roman"/>
          <w:sz w:val="32"/>
          <w:szCs w:val="32"/>
        </w:rPr>
        <w:t xml:space="preserve">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Усть-Лабинского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 за 2015 год.</w:t>
      </w:r>
    </w:p>
    <w:p w:rsidR="003F4A8A" w:rsidRDefault="00A304A6">
      <w:r>
        <w:rPr>
          <w:noProof/>
          <w:lang w:eastAsia="ru-RU"/>
        </w:rPr>
        <w:drawing>
          <wp:inline distT="0" distB="0" distL="0" distR="0">
            <wp:extent cx="5940425" cy="3949997"/>
            <wp:effectExtent l="0" t="0" r="3175" b="0"/>
            <wp:docPr id="1" name="Рисунок 1" descr="F:\отчет главы за 2015 год\DSC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ет главы за 2015 год\DSC_0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A6" w:rsidRDefault="00A304A6">
      <w:r>
        <w:rPr>
          <w:noProof/>
          <w:lang w:eastAsia="ru-RU"/>
        </w:rPr>
        <w:lastRenderedPageBreak/>
        <w:drawing>
          <wp:inline distT="0" distB="0" distL="0" distR="0">
            <wp:extent cx="5940425" cy="3949997"/>
            <wp:effectExtent l="0" t="0" r="3175" b="0"/>
            <wp:docPr id="2" name="Рисунок 2" descr="F:\отчет главы за 2015 год\DSC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тчет главы за 2015 год\DSC_0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941" w:rsidRDefault="00364941"/>
    <w:p w:rsidR="00364941" w:rsidRPr="00364941" w:rsidRDefault="00364941" w:rsidP="00364941">
      <w:pPr>
        <w:widowControl w:val="0"/>
        <w:shd w:val="clear" w:color="auto" w:fill="FFFFFF"/>
        <w:suppressAutoHyphens/>
        <w:autoSpaceDE w:val="0"/>
        <w:spacing w:after="0" w:line="326" w:lineRule="exac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к решению </w:t>
      </w:r>
    </w:p>
    <w:p w:rsidR="00364941" w:rsidRPr="00364941" w:rsidRDefault="00364941" w:rsidP="00364941">
      <w:pPr>
        <w:widowControl w:val="0"/>
        <w:shd w:val="clear" w:color="auto" w:fill="FFFFFF"/>
        <w:suppressAutoHyphens/>
        <w:autoSpaceDE w:val="0"/>
        <w:spacing w:after="0" w:line="326" w:lineRule="exac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Совета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364941" w:rsidRPr="00364941" w:rsidRDefault="00364941" w:rsidP="00364941">
      <w:pPr>
        <w:widowControl w:val="0"/>
        <w:shd w:val="clear" w:color="auto" w:fill="FFFFFF"/>
        <w:suppressAutoHyphens/>
        <w:autoSpaceDE w:val="0"/>
        <w:spacing w:after="0" w:line="326" w:lineRule="exac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Усть-Лабинского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</w:t>
      </w:r>
    </w:p>
    <w:p w:rsidR="00364941" w:rsidRPr="00364941" w:rsidRDefault="00364941" w:rsidP="00364941">
      <w:pPr>
        <w:widowControl w:val="0"/>
        <w:shd w:val="clear" w:color="auto" w:fill="FFFFFF"/>
        <w:suppressAutoHyphens/>
        <w:autoSpaceDE w:val="0"/>
        <w:spacing w:after="0" w:line="326" w:lineRule="exact"/>
        <w:ind w:right="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от 05.02.2016 года № 1 протокол 22</w:t>
      </w:r>
    </w:p>
    <w:p w:rsidR="00364941" w:rsidRPr="00364941" w:rsidRDefault="00364941" w:rsidP="00364941">
      <w:pPr>
        <w:widowControl w:val="0"/>
        <w:shd w:val="clear" w:color="auto" w:fill="FFFFFF"/>
        <w:suppressAutoHyphens/>
        <w:autoSpaceDE w:val="0"/>
        <w:spacing w:after="0" w:line="326" w:lineRule="exact"/>
        <w:ind w:right="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64941" w:rsidRPr="00364941" w:rsidRDefault="00364941" w:rsidP="00364941">
      <w:pPr>
        <w:widowControl w:val="0"/>
        <w:shd w:val="clear" w:color="auto" w:fill="FFFFFF"/>
        <w:suppressAutoHyphens/>
        <w:autoSpaceDE w:val="0"/>
        <w:spacing w:after="0" w:line="326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ЕЖЕГОДНЫЙ ОТЧЕТ</w:t>
      </w:r>
    </w:p>
    <w:p w:rsidR="00364941" w:rsidRPr="00364941" w:rsidRDefault="00364941" w:rsidP="00364941">
      <w:pPr>
        <w:widowControl w:val="0"/>
        <w:shd w:val="clear" w:color="auto" w:fill="FFFFFF"/>
        <w:suppressAutoHyphens/>
        <w:autoSpaceDE w:val="0"/>
        <w:spacing w:after="0" w:line="326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64941" w:rsidRPr="00364941" w:rsidRDefault="00364941" w:rsidP="00364941">
      <w:pPr>
        <w:widowControl w:val="0"/>
        <w:shd w:val="clear" w:color="auto" w:fill="FFFFFF"/>
        <w:suppressAutoHyphens/>
        <w:autoSpaceDE w:val="0"/>
        <w:spacing w:after="0" w:line="326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главы  </w:t>
      </w:r>
      <w:proofErr w:type="spellStart"/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Кирпильского</w:t>
      </w:r>
      <w:proofErr w:type="spellEnd"/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сельского поселения </w:t>
      </w:r>
      <w:proofErr w:type="spellStart"/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Усть-Лабинского</w:t>
      </w:r>
      <w:proofErr w:type="spellEnd"/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района об основных итогах социально-экономического развития  за </w:t>
      </w:r>
      <w:r w:rsidRPr="00364941">
        <w:rPr>
          <w:rFonts w:ascii="Times New Roman" w:eastAsia="Times New Roman" w:hAnsi="Times New Roman" w:cs="Times New Roman"/>
          <w:b/>
          <w:spacing w:val="13"/>
          <w:sz w:val="28"/>
          <w:szCs w:val="28"/>
          <w:lang w:eastAsia="zh-CN"/>
        </w:rPr>
        <w:t>2015</w:t>
      </w:r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</w:t>
      </w:r>
    </w:p>
    <w:p w:rsidR="00364941" w:rsidRPr="00364941" w:rsidRDefault="00364941" w:rsidP="00364941">
      <w:pPr>
        <w:widowControl w:val="0"/>
        <w:shd w:val="clear" w:color="auto" w:fill="FFFFFF"/>
        <w:suppressAutoHyphens/>
        <w:autoSpaceDE w:val="0"/>
        <w:spacing w:after="0" w:line="326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Уважаемые земляки!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Уважаемые депутаты, гости,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представители общественности! 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36 Федерального закона №131-ФЗ «Об общих принципах местного самоуправления в Российской  Федерации» и Уставом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Усть-Лабинского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 я, как глава поселения, представляю депутатам   Совета ежегодный отчет о результатах своей деятельности и результатах деятельности  администрации поселения за 2014 год.  Мы сегодня собрались в таком широком составе не случайно, потому что те показатели, которых нам удалось достичь  и  о которых дальше пойдет речь, - это результат нашей с вами совместной работы. Поэтому анализировать результаты и строить планы на будущее мы, </w:t>
      </w: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конечно же, должны вместе.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Территория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Усть-Лабинского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 занимает площадь 14107 га. В состав  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Усть-Лабинского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входят   1  населенный    пункт, общая численность населения 5540 человек.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На территории поселения находятся: 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/п «Нива» АО фирма «Агрокомплекс» имени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Н.И.Ткачева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СПК «Авангард»; одна школа: МБОУ СОШ №11; МБДОУ детский сад № 35; амбулатория-1, отделение 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почтовой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связи-1, филиал сбербанка-1, МКУК «КДЦ «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Кирпильский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Кирпильская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сельская библиотека, муниципальное казенное учреждение «Мотодром»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Усть-Лабинского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района, МБУ «Созидание»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Усть-Лабинского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В поселении 146 крестьянско-фермерских хозяйств, ЛПХ 2040.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БЮДЖЕТ ПОСЕЛЕНИЯ.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Бюджет </w:t>
      </w:r>
      <w:proofErr w:type="spellStart"/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Кирпильского</w:t>
      </w:r>
      <w:proofErr w:type="spellEnd"/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</w:t>
      </w:r>
      <w:proofErr w:type="spellStart"/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Усть-Лабинского</w:t>
      </w:r>
      <w:proofErr w:type="spellEnd"/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района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Администрацией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Усть-Лабинского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на постоянной основе осуществляется  ряд комплексных мер по обеспечению устойчивого социально экономического развития поселения.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Деятельность администрации направлена на увеличение наполняемости доходной части бюджета, усиление 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контроля за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эффективным  расходованием бюджетных средств, совершенствование бюджетной системы.  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Основной приоритет  бюджета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в 2015 году, как и во все предыдущие годы – повышение эффективности, устойчивости и надежности функционирования жилищно-коммунальных систем жизнеобеспечения населения,  создание условий для повышения доступности и качества услуг социально- культурной сферы.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Для улучшения ситуации в реальном секторе экономики и социальной сфере администрация поселения ставило перед собой следующие задачи.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Во-первых, обеспечить исполнение бюджетного назначения по собственным доходам на 2015 год в сумме 11688,6 тыс.  рублей.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Намеченные в местном бюджете темпы были скорректированы с учетом поставленной краевой властью задачи обеспеченностью прироста   собственных доходов 2015 году.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поселении были разработаны планы мероприятий по наполняемости бюджета 2015 года. Рассчитаны объемы дополнительных заданий по доходам с целью достижения указанного уровня.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 основной критерий эффективности работы поселения, исполнение которого  позволит решать вопросы социальной направленности в области культуры, благоустройства и т.д.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Теперь несколько слов об исполнении бюджета,</w:t>
      </w:r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которое осуществлялось в рамках антикризисных мер. Основными направлениями этой работы стали укрепление доходов и оптимизация расходов бюджета. С экономической точки зрения год был сложным.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поселении  действовало более 14 ведомственных целевых программ.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№ 131-ФЗ « Об общих </w:t>
      </w: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принципах организации  местного самоуправления в РФ»  на  сессии Совета депутатов  был утвержден бюджет поселения на 2015 год: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доходам – в сумме  18287,6  тыс.  руб., из них собственные доходы - 11092,4 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.р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уб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6494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Проведение планомерной работы администрации поселения позволило обеспечить  сбор налоговых и неналоговых доходов в бюджет поселения в объеме  11688,6 </w:t>
      </w:r>
      <w:proofErr w:type="spellStart"/>
      <w:r w:rsidRPr="0036494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тыс</w:t>
      </w:r>
      <w:proofErr w:type="gramStart"/>
      <w:r w:rsidRPr="0036494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.р</w:t>
      </w:r>
      <w:proofErr w:type="gramEnd"/>
      <w:r w:rsidRPr="0036494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уб</w:t>
      </w:r>
      <w:proofErr w:type="spellEnd"/>
      <w:r w:rsidRPr="0036494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  <w:r w:rsidRPr="0036494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2832"/>
        <w:gridCol w:w="1906"/>
        <w:gridCol w:w="1925"/>
        <w:gridCol w:w="1934"/>
        <w:gridCol w:w="45"/>
        <w:gridCol w:w="15"/>
      </w:tblGrid>
      <w:tr w:rsidR="00364941" w:rsidRPr="00364941" w:rsidTr="00C3637C">
        <w:trPr>
          <w:gridAfter w:val="1"/>
          <w:wAfter w:w="15" w:type="dxa"/>
          <w:trHeight w:hRule="exact" w:val="293"/>
        </w:trPr>
        <w:tc>
          <w:tcPr>
            <w:tcW w:w="1013" w:type="dxa"/>
            <w:tcBorders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97" w:type="dxa"/>
            <w:gridSpan w:val="4"/>
            <w:tcBorders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Анализ поступления доходов за 2015 год</w:t>
            </w:r>
          </w:p>
        </w:tc>
        <w:tc>
          <w:tcPr>
            <w:tcW w:w="45" w:type="dxa"/>
            <w:shd w:val="clear" w:color="auto" w:fill="auto"/>
          </w:tcPr>
          <w:p w:rsidR="00364941" w:rsidRPr="00364941" w:rsidRDefault="00364941" w:rsidP="003649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4941" w:rsidRPr="00364941" w:rsidTr="00C3637C">
        <w:tblPrEx>
          <w:tblCellMar>
            <w:left w:w="40" w:type="dxa"/>
            <w:right w:w="40" w:type="dxa"/>
          </w:tblCellMar>
        </w:tblPrEx>
        <w:trPr>
          <w:trHeight w:hRule="exact" w:val="562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  <w:proofErr w:type="gramStart"/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End"/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/п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52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Наименование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left="19" w:right="43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Бюджет на 2015 год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6" w:right="96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Исполнено на 31.12.2015 г.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10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% исполнения бюджета</w:t>
            </w:r>
          </w:p>
        </w:tc>
      </w:tr>
      <w:tr w:rsidR="00364941" w:rsidRPr="00364941" w:rsidTr="00C3637C">
        <w:tblPrEx>
          <w:tblCellMar>
            <w:left w:w="40" w:type="dxa"/>
            <w:right w:w="40" w:type="dxa"/>
          </w:tblCellMar>
        </w:tblPrEx>
        <w:trPr>
          <w:trHeight w:hRule="exact" w:val="326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Налоговые доходы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10913,5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11503,0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105,4</w:t>
            </w:r>
          </w:p>
        </w:tc>
      </w:tr>
      <w:tr w:rsidR="00364941" w:rsidRPr="00364941" w:rsidTr="00C3637C">
        <w:tblPrEx>
          <w:tblCellMar>
            <w:left w:w="40" w:type="dxa"/>
            <w:right w:w="40" w:type="dxa"/>
          </w:tblCellMar>
        </w:tblPrEx>
        <w:trPr>
          <w:trHeight w:hRule="exact" w:val="283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9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НДФЛ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2415,0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2774,3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114,9</w:t>
            </w:r>
          </w:p>
        </w:tc>
      </w:tr>
      <w:tr w:rsidR="00364941" w:rsidRPr="00364941" w:rsidTr="00C3637C">
        <w:tblPrEx>
          <w:tblCellMar>
            <w:left w:w="40" w:type="dxa"/>
            <w:right w:w="40" w:type="dxa"/>
          </w:tblCellMar>
        </w:tblPrEx>
        <w:trPr>
          <w:trHeight w:hRule="exact" w:val="283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9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ЕСХН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841,0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886,7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105,4</w:t>
            </w:r>
          </w:p>
        </w:tc>
      </w:tr>
      <w:tr w:rsidR="00364941" w:rsidRPr="00364941" w:rsidTr="00C3637C">
        <w:tblPrEx>
          <w:tblCellMar>
            <w:left w:w="40" w:type="dxa"/>
            <w:right w:w="40" w:type="dxa"/>
          </w:tblCellMar>
        </w:tblPrEx>
        <w:trPr>
          <w:trHeight w:hRule="exact" w:val="566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250"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Налог на имущество физических лиц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395,0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404,9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102,5</w:t>
            </w:r>
          </w:p>
        </w:tc>
      </w:tr>
      <w:tr w:rsidR="00364941" w:rsidRPr="00364941" w:rsidTr="00C3637C">
        <w:tblPrEx>
          <w:tblCellMar>
            <w:left w:w="40" w:type="dxa"/>
            <w:right w:w="40" w:type="dxa"/>
          </w:tblCellMar>
        </w:tblPrEx>
        <w:trPr>
          <w:trHeight w:hRule="exact" w:val="283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Земельный налог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5103,2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5203,9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102,0</w:t>
            </w:r>
          </w:p>
        </w:tc>
      </w:tr>
      <w:tr w:rsidR="00364941" w:rsidRPr="00364941" w:rsidTr="00C3637C">
        <w:tblPrEx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Акцизы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69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2159,3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2232,2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103,4</w:t>
            </w:r>
          </w:p>
        </w:tc>
      </w:tr>
      <w:tr w:rsidR="00364941" w:rsidRPr="00364941" w:rsidTr="00C3637C">
        <w:tblPrEx>
          <w:tblCellMar>
            <w:left w:w="40" w:type="dxa"/>
            <w:right w:w="40" w:type="dxa"/>
          </w:tblCellMar>
        </w:tblPrEx>
        <w:trPr>
          <w:trHeight w:hRule="exact" w:val="653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322" w:lineRule="exact"/>
              <w:ind w:left="451" w:right="4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Неналоговые доходы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178,9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185,6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103,6</w:t>
            </w:r>
          </w:p>
        </w:tc>
      </w:tr>
      <w:tr w:rsidR="00364941" w:rsidRPr="00364941" w:rsidTr="00C3637C">
        <w:tblPrEx>
          <w:tblCellMar>
            <w:left w:w="40" w:type="dxa"/>
            <w:right w:w="40" w:type="dxa"/>
          </w:tblCellMar>
        </w:tblPrEx>
        <w:trPr>
          <w:trHeight w:hRule="exact" w:val="283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Арендная плата за земли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7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364941" w:rsidRPr="00364941" w:rsidTr="00C3637C">
        <w:tblPrEx>
          <w:tblCellMar>
            <w:left w:w="40" w:type="dxa"/>
            <w:right w:w="40" w:type="dxa"/>
          </w:tblCellMar>
        </w:tblPrEx>
        <w:trPr>
          <w:trHeight w:hRule="exact" w:val="557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341" w:right="3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Доходы от сдачи в аренду, имущества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144,0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144,8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100,6</w:t>
            </w:r>
          </w:p>
        </w:tc>
      </w:tr>
      <w:tr w:rsidR="00364941" w:rsidRPr="00364941" w:rsidTr="00C3637C">
        <w:tblPrEx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4941" w:rsidRPr="00364941" w:rsidTr="00C3637C">
        <w:tblPrEx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Прочие неналоговые доходы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34,9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40,6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116,9</w:t>
            </w:r>
          </w:p>
        </w:tc>
      </w:tr>
      <w:tr w:rsidR="00364941" w:rsidRPr="00364941" w:rsidTr="00C3637C">
        <w:tblPrEx>
          <w:tblCellMar>
            <w:left w:w="40" w:type="dxa"/>
            <w:right w:w="40" w:type="dxa"/>
          </w:tblCellMar>
        </w:tblPrEx>
        <w:trPr>
          <w:trHeight w:hRule="exact" w:val="331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Доходы всего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11092,4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11688,6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105,4</w:t>
            </w:r>
          </w:p>
        </w:tc>
      </w:tr>
      <w:tr w:rsidR="00364941" w:rsidRPr="00364941" w:rsidTr="00C3637C">
        <w:tblPrEx>
          <w:tblCellMar>
            <w:left w:w="40" w:type="dxa"/>
            <w:right w:w="40" w:type="dxa"/>
          </w:tblCellMar>
        </w:tblPrEx>
        <w:trPr>
          <w:trHeight w:hRule="exact" w:val="653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322" w:lineRule="exact"/>
              <w:ind w:left="346" w:right="35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Безвозмездные поступления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7195,2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6738,7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93,7</w:t>
            </w:r>
          </w:p>
        </w:tc>
      </w:tr>
      <w:tr w:rsidR="00364941" w:rsidRPr="00364941" w:rsidTr="00C3637C">
        <w:tblPrEx>
          <w:tblCellMar>
            <w:left w:w="40" w:type="dxa"/>
            <w:right w:w="40" w:type="dxa"/>
          </w:tblCellMar>
        </w:tblPrEx>
        <w:trPr>
          <w:trHeight w:hRule="exact" w:val="283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 xml:space="preserve">Дотации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750,0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750,0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100,0</w:t>
            </w:r>
          </w:p>
        </w:tc>
      </w:tr>
      <w:tr w:rsidR="00364941" w:rsidRPr="00364941" w:rsidTr="00C3637C">
        <w:tblPrEx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 xml:space="preserve">      Субсидии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9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6233,3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5776,8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92,7</w:t>
            </w:r>
          </w:p>
        </w:tc>
      </w:tr>
      <w:tr w:rsidR="00364941" w:rsidRPr="00364941" w:rsidTr="00C3637C">
        <w:tblPrEx>
          <w:tblCellMar>
            <w:left w:w="40" w:type="dxa"/>
            <w:right w:w="40" w:type="dxa"/>
          </w:tblCellMar>
        </w:tblPrEx>
        <w:trPr>
          <w:trHeight w:hRule="exact" w:val="283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Субвенции бюджету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185,6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185,6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100,0</w:t>
            </w:r>
          </w:p>
        </w:tc>
      </w:tr>
      <w:tr w:rsidR="00364941" w:rsidRPr="00364941" w:rsidTr="00C3637C">
        <w:tblPrEx>
          <w:tblCellMar>
            <w:left w:w="40" w:type="dxa"/>
            <w:right w:w="40" w:type="dxa"/>
          </w:tblCellMar>
        </w:tblPrEx>
        <w:trPr>
          <w:trHeight w:hRule="exact" w:val="835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 xml:space="preserve">Доходы бюджета </w:t>
            </w:r>
            <w:proofErr w:type="gramStart"/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от</w:t>
            </w:r>
            <w:proofErr w:type="gramEnd"/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gramStart"/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возврат</w:t>
            </w:r>
            <w:proofErr w:type="gramEnd"/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 xml:space="preserve"> остатков субсидий, субвенций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102,3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102,3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100,0</w:t>
            </w:r>
          </w:p>
        </w:tc>
      </w:tr>
      <w:tr w:rsidR="00364941" w:rsidRPr="00364941" w:rsidTr="00C3637C">
        <w:tblPrEx>
          <w:tblCellMar>
            <w:left w:w="40" w:type="dxa"/>
            <w:right w:w="40" w:type="dxa"/>
          </w:tblCellMar>
        </w:tblPrEx>
        <w:trPr>
          <w:trHeight w:hRule="exact" w:val="560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Прочие безвозмездные поступления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162,5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162,5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100,0</w:t>
            </w:r>
          </w:p>
        </w:tc>
      </w:tr>
      <w:tr w:rsidR="00364941" w:rsidRPr="00364941" w:rsidTr="00C3637C">
        <w:tblPrEx>
          <w:tblCellMar>
            <w:left w:w="40" w:type="dxa"/>
            <w:right w:w="40" w:type="dxa"/>
          </w:tblCellMar>
        </w:tblPrEx>
        <w:trPr>
          <w:trHeight w:hRule="exact" w:val="350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 доходов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18287,6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18427,3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100,8</w:t>
            </w:r>
          </w:p>
        </w:tc>
      </w:tr>
    </w:tbl>
    <w:p w:rsidR="00364941" w:rsidRPr="00364941" w:rsidRDefault="00364941" w:rsidP="00364941">
      <w:pPr>
        <w:widowControl w:val="0"/>
        <w:shd w:val="clear" w:color="auto" w:fill="FFFFFF"/>
        <w:suppressAutoHyphens/>
        <w:autoSpaceDE w:val="0"/>
        <w:spacing w:before="317" w:after="0" w:line="240" w:lineRule="auto"/>
        <w:ind w:right="14"/>
        <w:jc w:val="center"/>
        <w:rPr>
          <w:rFonts w:ascii="Times New Roman" w:eastAsia="Times New Roman" w:hAnsi="Times New Roman" w:cs="Times New Roman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Расходы за 2015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6797"/>
        <w:gridCol w:w="2335"/>
      </w:tblGrid>
      <w:tr w:rsidR="00364941" w:rsidRPr="00364941" w:rsidTr="00C3637C">
        <w:trPr>
          <w:trHeight w:hRule="exact" w:val="57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left="10" w:firstLine="43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 xml:space="preserve">№ </w:t>
            </w:r>
            <w:proofErr w:type="gramStart"/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End"/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/п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65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Вид расхода</w:t>
            </w:r>
          </w:p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65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Сумма (</w:t>
            </w:r>
            <w:proofErr w:type="spellStart"/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тыс</w:t>
            </w:r>
            <w:proofErr w:type="gramStart"/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.р</w:t>
            </w:r>
            <w:proofErr w:type="gramEnd"/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уб</w:t>
            </w:r>
            <w:proofErr w:type="spellEnd"/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.)</w:t>
            </w:r>
          </w:p>
        </w:tc>
      </w:tr>
      <w:tr w:rsidR="00364941" w:rsidRPr="00364941" w:rsidTr="00C3637C">
        <w:trPr>
          <w:trHeight w:hRule="exact" w:val="64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bCs/>
                <w:lang w:eastAsia="zh-CN"/>
              </w:rPr>
              <w:t>Содержание аппарата управления и другие общегосударственные вопросы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5790,5</w:t>
            </w:r>
          </w:p>
        </w:tc>
      </w:tr>
      <w:tr w:rsidR="00364941" w:rsidRPr="00364941" w:rsidTr="00C3637C">
        <w:trPr>
          <w:trHeight w:hRule="exact" w:val="42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93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bCs/>
                <w:lang w:eastAsia="zh-CN"/>
              </w:rPr>
              <w:t>Национальная оборона (осуществление воинского учета</w:t>
            </w:r>
            <w:proofErr w:type="gramStart"/>
            <w:r w:rsidRPr="0036494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)</w:t>
            </w:r>
            <w:proofErr w:type="gram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181,6</w:t>
            </w:r>
          </w:p>
        </w:tc>
      </w:tr>
      <w:tr w:rsidR="00364941" w:rsidRPr="00364941" w:rsidTr="00C3637C">
        <w:trPr>
          <w:trHeight w:hRule="exact" w:val="6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93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338,5</w:t>
            </w:r>
          </w:p>
        </w:tc>
      </w:tr>
      <w:tr w:rsidR="00364941" w:rsidRPr="00364941" w:rsidTr="00C3637C">
        <w:trPr>
          <w:trHeight w:hRule="exact" w:val="39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Национальная экономика, из них: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5961,5</w:t>
            </w:r>
          </w:p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4941" w:rsidRPr="00364941" w:rsidTr="00C3637C">
        <w:trPr>
          <w:trHeight w:hRule="exact" w:val="39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8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5666,6</w:t>
            </w:r>
          </w:p>
        </w:tc>
      </w:tr>
      <w:tr w:rsidR="00364941" w:rsidRPr="00364941" w:rsidTr="00C3637C">
        <w:trPr>
          <w:trHeight w:hRule="exact" w:val="34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8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bCs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294,9</w:t>
            </w:r>
          </w:p>
        </w:tc>
      </w:tr>
      <w:tr w:rsidR="00364941" w:rsidRPr="00364941" w:rsidTr="00C3637C">
        <w:trPr>
          <w:trHeight w:hRule="exact" w:val="359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8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Коммунальное хозяйство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44,9</w:t>
            </w:r>
          </w:p>
        </w:tc>
      </w:tr>
      <w:tr w:rsidR="00364941" w:rsidRPr="00364941" w:rsidTr="00C3637C">
        <w:trPr>
          <w:trHeight w:hRule="exact" w:val="36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8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Благоустройство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1166,9</w:t>
            </w:r>
          </w:p>
        </w:tc>
      </w:tr>
      <w:tr w:rsidR="00364941" w:rsidRPr="00364941" w:rsidTr="00C3637C">
        <w:trPr>
          <w:trHeight w:hRule="exact" w:val="28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lang w:eastAsia="zh-CN"/>
              </w:rPr>
              <w:t>Молодежная политика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</w:t>
            </w:r>
          </w:p>
        </w:tc>
      </w:tr>
      <w:tr w:rsidR="00364941" w:rsidRPr="00364941" w:rsidTr="00C3637C">
        <w:trPr>
          <w:trHeight w:hRule="exact" w:val="28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bCs/>
                <w:lang w:eastAsia="zh-CN"/>
              </w:rPr>
              <w:t>Культура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6184,4</w:t>
            </w:r>
          </w:p>
        </w:tc>
      </w:tr>
      <w:tr w:rsidR="00364941" w:rsidRPr="00364941" w:rsidTr="00C3637C">
        <w:trPr>
          <w:trHeight w:hRule="exact" w:val="28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405,5</w:t>
            </w:r>
          </w:p>
        </w:tc>
      </w:tr>
      <w:tr w:rsidR="00364941" w:rsidRPr="00364941" w:rsidTr="00C3637C">
        <w:trPr>
          <w:trHeight w:hRule="exact" w:val="307"/>
        </w:trPr>
        <w:tc>
          <w:tcPr>
            <w:tcW w:w="7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bCs/>
                <w:lang w:eastAsia="zh-CN"/>
              </w:rPr>
              <w:t>Всего расходов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941" w:rsidRPr="00364941" w:rsidRDefault="00364941" w:rsidP="003649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49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20089,1</w:t>
            </w:r>
          </w:p>
        </w:tc>
      </w:tr>
    </w:tbl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переписи на территории поселения проживает 26 национальностей. </w:t>
      </w:r>
      <w:r w:rsidRPr="003649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Продолжается процесс старения населения. </w:t>
      </w: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В 2015 году родилось 69 детей, умерло 89 чел.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.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конец года численность населения составила 5540 человек.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Несколько слов о занятости населения.</w:t>
      </w:r>
    </w:p>
    <w:p w:rsidR="00364941" w:rsidRPr="00364941" w:rsidRDefault="00364941" w:rsidP="00364941">
      <w:pPr>
        <w:widowControl w:val="0"/>
        <w:suppressAutoHyphens/>
        <w:autoSpaceDE w:val="0"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</w:t>
      </w:r>
      <w:proofErr w:type="spellStart"/>
      <w:r w:rsidRPr="003649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Трудоуспособное</w:t>
      </w:r>
      <w:proofErr w:type="spellEnd"/>
      <w:r w:rsidRPr="003649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население — 2887 человека, из них занято в экономике поселения —</w:t>
      </w: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1503</w:t>
      </w:r>
      <w:r w:rsidRPr="00364941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3649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чел;  </w:t>
      </w: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/п «Нива» ЗАО фирма «Агрокомплекс» имени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Н.И.Ткачева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и свиноводческий комплекс задействовано 300 человек, в учреждениях, обслуживающих население, - 301; в крестьянских хозяйствах – 480</w:t>
      </w:r>
      <w:r w:rsidRPr="003649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чел</w:t>
      </w: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прочих предприятиях – 362</w:t>
      </w:r>
      <w:r w:rsidRPr="003649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чел</w:t>
      </w: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Уровень регистрируемой безработицы по состоянию на конец года составил  0,8 %.  Я считаю это серьезным поводом для работы администрации и всех заинтересованных служб над решением проблемы в этом году.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Основой экономики поселения  является сельское хозяйство </w:t>
      </w:r>
    </w:p>
    <w:p w:rsidR="00364941" w:rsidRPr="00364941" w:rsidRDefault="00364941" w:rsidP="003649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Усть-Лабинского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является преимущественно аграрным, поэтому состояние экономики  зависит, во многом, от развития сельскохозяйственной отрасли. </w:t>
      </w:r>
    </w:p>
    <w:p w:rsidR="00364941" w:rsidRPr="00364941" w:rsidRDefault="00364941" w:rsidP="00364941">
      <w:pPr>
        <w:widowControl w:val="0"/>
        <w:suppressAutoHyphens/>
        <w:autoSpaceDE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Экономическую основу поселения составляют сельскохозяйственные предприятия 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/п «Нива» ЗАО фирма «Агрокомплекс» имени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Н.И.Ткачева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СПК «Авангард», специализирующиеся на производстве зерновых культур и продукции животноводства и  146 КФХ. Финансовое положение с/х предприятиях 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хорошие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, материальная база постепенно обновляется.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По  итогам 2015 года поселение  находится в числе передовых в ранге среди поселений района  по урожайности  и объему производства зерновых. В сельскохозяйственном производстве занято более 40% всего работающего населения поселения. Развито растениеводство. Более половины всех посевных площадей занято под зерновые культуры, из технических культур преобладают посевы семян кукурузы, сахарной свеклы, подсолнечника, сои в КФХ, свекла, кабачок и морковь.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этом, однако, целый ряд показателей социально-экономического развития свидетельствует о группе нерешенных проблем, которые могут </w:t>
      </w: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оказаться существенными с точки зрения конкурентоспособности поселения и его эффективной интеграции в процессы, определяющие основные направления развития.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По-прежнему высока  доля населения с доходами ниже прожиточного минимума. Около 50 % трудоспособного населения поселения вынуждены искать работу за пределами территории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Усть-Лабинского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района.</w:t>
      </w:r>
    </w:p>
    <w:p w:rsidR="00364941" w:rsidRPr="00364941" w:rsidRDefault="00364941" w:rsidP="003649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Немаловажным фактором напряженности рынка труда для поселения  является сезонный характер безработицы, связанный с работами в сельском хозяйстве производстве.</w:t>
      </w:r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В сельском хозяйстве занято 1 крупное предприятие </w:t>
      </w:r>
      <w:proofErr w:type="gramStart"/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>п</w:t>
      </w:r>
      <w:proofErr w:type="gramEnd"/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/п «Нива» ЗАО фирма «Агрокомплекс» имени </w:t>
      </w:r>
      <w:proofErr w:type="spellStart"/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>Н.И.Ткачева</w:t>
      </w:r>
      <w:proofErr w:type="spellEnd"/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 и 146 </w:t>
      </w:r>
      <w:proofErr w:type="spellStart"/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>крестьянско</w:t>
      </w:r>
      <w:proofErr w:type="spellEnd"/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- фермерских хозяйств. Несмотря на ряд трудностей в отрасли нужно  отметить,  что  ряд  крестьянских хозяйств  поселения  работают  стабильно,  имеют  устойчивые  экономические  показатели  и  получают  прибыль  по  итогам  финансово-хозяйственной  деятельности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 касается развития малых форм хозяйствования, то в настоящее время личное подсобное хозяйство стало источником обеспечения сельских жителей не только продовольствием, но и необходимыми средствами существования.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1 января 2015 года в поселении личные подсобные хозяйства ведут более 2000 семей. </w:t>
      </w:r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>Значительную часть в обеспечение поселения полноценными продуктами питания вносит частный сектор ЛПХ. Жителями поселения на приусадебных участках выращивается картофель, свекла, капуста, огурцы, помидоры и другие овощи, фрукты.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>Увереннее начинают наши жители заниматься ягодным и тепличным хозяйством, все больше площадей прокрывается пленкой. Примеры вы видите наяву. Есть примеры развития кролиководства, скотоводства</w:t>
      </w:r>
      <w:proofErr w:type="gramStart"/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., </w:t>
      </w:r>
      <w:proofErr w:type="gramEnd"/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>имеются пастбища.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Основной целью реализации общенациональных проектов является улучшение благосостояние народа, развитие личного подсобного хозяйства.  В крае, районе разработаны программы развития ЛПХ.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</w:t>
      </w:r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64941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Потребительский  рынок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</w:pPr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Важным фактором в насыщении потребительского рынка товарами и удовлетворения спроса населения остались вещевые, смешанные и продовольственные магазины.  </w:t>
      </w: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поселении имеется 30 торговых точки, действует 2 рыночные площадки, 2 аптеки, 3 кафе.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 xml:space="preserve">  </w:t>
      </w:r>
      <w:r w:rsidRPr="00364941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Малое и среднее предпринимательство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Количество субъектов малого бизнеса ежегодно растет, в 2016 году прогнозируемый рост численности субъектов малого бизнеса составит до 190 единиц с КФХ.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Численность субъектов малого бизнеса по основным видам деятельности распределены следующим образом:</w:t>
      </w:r>
    </w:p>
    <w:p w:rsidR="00364941" w:rsidRPr="00364941" w:rsidRDefault="00364941" w:rsidP="00364941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оптовая и розничная торговля – 12 %</w:t>
      </w:r>
    </w:p>
    <w:p w:rsidR="00364941" w:rsidRPr="00364941" w:rsidRDefault="00364941" w:rsidP="00364941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сельское хозяйство – 86 %</w:t>
      </w:r>
    </w:p>
    <w:p w:rsidR="00364941" w:rsidRPr="00364941" w:rsidRDefault="00364941" w:rsidP="00364941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прочие виды деятельности – 2 %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Преимущественное  развитие отраслевой структуры  малого бизнеса в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Усть-Лабинского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- в сфере сельскохозяйственного производства.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Все мы знаем, что у нас предоставляются услуги по ремонту одежды, ремонту водопровода, общестроительные и кровельные работы, предоставляются парикмахерские услуги, но эти люди не спешат себя показывать, регистрироваться и работать как индивидуальные предприниматели.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Администрацией проводится работа по реализации мероприятий муниципальной целевой программы «Развитие малого и среднего предпринимательства. </w:t>
      </w:r>
      <w:r w:rsidRPr="0036494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Мы и впредь будем всемерно</w:t>
      </w:r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содействовать увеличению количества субъектов малого предпринимательства, численности занятых в этой сфере, повышению оборота малых предприятий.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4941" w:rsidRPr="00364941" w:rsidRDefault="00364941" w:rsidP="00364941">
      <w:pPr>
        <w:keepNext/>
        <w:tabs>
          <w:tab w:val="num" w:pos="0"/>
          <w:tab w:val="left" w:pos="432"/>
          <w:tab w:val="left" w:pos="864"/>
        </w:tabs>
        <w:suppressAutoHyphens/>
        <w:spacing w:after="0" w:line="240" w:lineRule="auto"/>
        <w:ind w:left="432" w:hanging="432"/>
        <w:jc w:val="center"/>
        <w:outlineLvl w:val="0"/>
        <w:rPr>
          <w:rFonts w:ascii="Cambria" w:eastAsia="Arial Unicode MS" w:hAnsi="Cambria" w:cs="Times New Roman"/>
          <w:b/>
          <w:bCs/>
          <w:kern w:val="1"/>
          <w:sz w:val="28"/>
          <w:szCs w:val="28"/>
          <w:lang w:eastAsia="zh-CN"/>
        </w:rPr>
      </w:pPr>
      <w:r w:rsidRPr="0036494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zh-CN"/>
        </w:rPr>
        <w:t>Транспортная инфраструктура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ab/>
        <w:t xml:space="preserve">Общая протяженность дорог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Усть-Лабинского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</w:t>
      </w:r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– 52,2км, в том числе с твердым покрытием – 17,9 км.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</w:pPr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Администрация, Совет </w:t>
      </w:r>
      <w:proofErr w:type="spellStart"/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>Кирпильского</w:t>
      </w:r>
      <w:proofErr w:type="spellEnd"/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>Усть-Лабинского</w:t>
      </w:r>
      <w:proofErr w:type="spellEnd"/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района постоянно </w:t>
      </w:r>
      <w:proofErr w:type="gramStart"/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>уделяет внимание дорогам так за 2015 год были</w:t>
      </w:r>
      <w:proofErr w:type="gramEnd"/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>отгрейдированы</w:t>
      </w:r>
      <w:proofErr w:type="spellEnd"/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все гравийные дороги, на что потрачено 99 тыс. рублей.</w:t>
      </w: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Ремонт и установка дорожных знаков — 179,5 тыс. рублей, нанесение разметки по улицам — 41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.р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ублей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ab/>
      </w: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Капитально отремонтированы дороги по улицам Фрунзе — 406 м, Крупская — 338 м, Суворова — 425 м, Угловая — 600 м,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.Л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омоносова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205 м. Итого  1974 м. На что затрачено 3938 тыс. рублей, из них краевые — 3543 тыс. рублей, местный бюджет — 394 тыс. рублей. Проведен ямочный ремонт  асфальтного покрытия — 269 тыс. рублей. Состояние дорог на территории поселения на сегодня — удовлетворительное.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Приступили к ремонту тротуаров, так по ул. 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Красной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отремонтировано 626 м тротуара. Поставлены ограждения. Спасибо АО фирме «Агрокомплекс» им.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Н.И.Ткачева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выделили трубы, а фермер Кваша Александр Александрович, спасибо ему большое, сделал ограждение со стороны реки. Теперь жители правого берега ходят по тротуару через центральный мост.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Сделан тротуар по ул. Первомайской и ул. Советской, чтобы дети ходили в школу только по тротуару.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Но я бы хотел остановиться на отношении жителей и гостей станицы к использованию дорог. Отношение, конечно, улучшается — меньше стали гнуть стойки, отрывать знаки, но не успели сделать ограждение на мосту, их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поотрывали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. Пришлось переделывать. Спрашивается — для кого делаем?..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64941" w:rsidRPr="00364941" w:rsidRDefault="00364941" w:rsidP="00364941">
      <w:pPr>
        <w:widowControl w:val="0"/>
        <w:tabs>
          <w:tab w:val="left" w:pos="2610"/>
          <w:tab w:val="left" w:pos="2760"/>
        </w:tabs>
        <w:suppressAutoHyphens/>
        <w:autoSpaceDE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Связь и телекоммуникации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Отрасль «связь»  включает почтовую, электронную,  радиосвязь.  Услуги  почтовой связи оказывает  структурное подразделение управления </w:t>
      </w:r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lastRenderedPageBreak/>
        <w:t>Федеральной почтовой связи Краснодарского края филиала ФГУП « Почта России», услуги электронной и радиосвязи -  структурное подразделение филиала «</w:t>
      </w:r>
      <w:proofErr w:type="spellStart"/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>Кубаньэлектросвязь</w:t>
      </w:r>
      <w:proofErr w:type="spellEnd"/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» ОАО «ЮТК», МТС, Билайн и Теле-2, имеется вышка скоростного Интернета.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Водоснабжение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Жилищно-коммунальная сфера была и остаётся одним из самых проблемных участков. Её  инфраструктура требует модернизации и технического перевооружения.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Одна из серьезных проблем поселения - водоснабжение.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Протяженность  водопроводных сетей 24,8 км. На территории поселения имеется 4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артскважины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Основная часть линий водопровода требует ремонта, существующим скважинам необходима  очистка, изношенность водопроводных сетей составляет более 90%.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За счет сре</w:t>
      </w:r>
      <w:proofErr w:type="gramStart"/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>дств гр</w:t>
      </w:r>
      <w:proofErr w:type="gramEnd"/>
      <w:r w:rsidRPr="00364941">
        <w:rPr>
          <w:rFonts w:ascii="Times New Roman" w:eastAsia="Arial Unicode MS" w:hAnsi="Times New Roman" w:cs="Times New Roman"/>
          <w:sz w:val="28"/>
          <w:szCs w:val="28"/>
          <w:lang w:eastAsia="zh-CN"/>
        </w:rPr>
        <w:t>аждан и ОАО Водопровод было заменено 500 метров водопровода по ул. Красной и эту работу надо продолжать.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Энергоснабжение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Электроснабжение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Усть-Лабинского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обеспечивает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Усть-Лабинские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электрические сети ОАО «Кубаньэнерго». Всего в станице установлено 285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эл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.ф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онарей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24 точки учета, затраты на оплату за уличное освещение около 500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тыс.рублей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я считаю, что для освещения станицы этого достаточно. Но существует проблема низкого напряжения в сети у жителей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ст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.К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ирпильской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необходима модернизация подстанций. Так, установлена новая подстанция по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ул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.К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расная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ул. Пушкина. Она 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разгрузила 225 Т.П. и напряжение у потребителей пришло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норму, жалобы прекратились.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Сейчас идет постепенная замена голого провода на СИП, но это зависит от жителей, нужно активно в этом участвовать, это стоит копейки, но тогда не будет страшен гололед, деревья и напряжение повысится в сети, потерь будет меньше, но мы пассивны. Много воруется электроэнергии на отопление.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Газоснабжение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Деятельность по эксплуатации объектов газификации и газоснабжения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Усть-Лабинского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осуществляется специализированными организациями – ОАО «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Усть-Лабинскрайгаз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С 2012 году построены 5 газопровода общей длиной более 15 километров, за счет этого газифицировать можно 800 домовладений, доведя % газификации до 82% с существующих 50 %.  Сейчас подключаем дворовые газопроводы на улицах Фрунзе, Советская, Угловая, Лермонтова, Пушкина.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Построен газопровод по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ул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.С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уворова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Степная, Красная – 726 метров, его сдали. Работаем над постройкой газопровода который соединит ШРП около школы с ШРП расположенными по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ул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.С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оветской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что создает </w:t>
      </w: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дополнительное давление в системе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газопотребления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Проект готов будем отдавать его на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госэкспертизу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 этом году обязательно построим.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4941" w:rsidRPr="00364941" w:rsidRDefault="00364941" w:rsidP="00364941">
      <w:pPr>
        <w:widowControl w:val="0"/>
        <w:tabs>
          <w:tab w:val="left" w:pos="1800"/>
        </w:tabs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4941" w:rsidRPr="00364941" w:rsidRDefault="00364941" w:rsidP="00364941">
      <w:pPr>
        <w:widowControl w:val="0"/>
        <w:tabs>
          <w:tab w:val="left" w:pos="1800"/>
        </w:tabs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Важнейшее направление деятельности администрации поселения – благоустройство поселения.</w:t>
      </w:r>
    </w:p>
    <w:p w:rsidR="00364941" w:rsidRPr="00364941" w:rsidRDefault="00364941" w:rsidP="00364941">
      <w:pPr>
        <w:widowControl w:val="0"/>
        <w:tabs>
          <w:tab w:val="left" w:pos="180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этой области предусматривается:</w:t>
      </w:r>
    </w:p>
    <w:p w:rsidR="00364941" w:rsidRPr="00364941" w:rsidRDefault="00364941" w:rsidP="00364941">
      <w:pPr>
        <w:widowControl w:val="0"/>
        <w:numPr>
          <w:ilvl w:val="0"/>
          <w:numId w:val="2"/>
        </w:numPr>
        <w:tabs>
          <w:tab w:val="left" w:pos="39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осуществлять 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ходом благоустройства и очистки территорий, прилегающим к предприятиям  и организациям и придомовым территориям;</w:t>
      </w:r>
    </w:p>
    <w:p w:rsidR="00364941" w:rsidRPr="00364941" w:rsidRDefault="00364941" w:rsidP="00364941">
      <w:pPr>
        <w:widowControl w:val="0"/>
        <w:numPr>
          <w:ilvl w:val="0"/>
          <w:numId w:val="2"/>
        </w:numPr>
        <w:tabs>
          <w:tab w:val="left" w:pos="39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спил деревьев;</w:t>
      </w:r>
    </w:p>
    <w:p w:rsidR="00364941" w:rsidRPr="00364941" w:rsidRDefault="00364941" w:rsidP="00364941">
      <w:pPr>
        <w:widowControl w:val="0"/>
        <w:numPr>
          <w:ilvl w:val="0"/>
          <w:numId w:val="2"/>
        </w:numPr>
        <w:tabs>
          <w:tab w:val="left" w:pos="39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проведение работ по озеленению территории;</w:t>
      </w:r>
    </w:p>
    <w:p w:rsidR="00364941" w:rsidRPr="00364941" w:rsidRDefault="00364941" w:rsidP="00364941">
      <w:pPr>
        <w:widowControl w:val="0"/>
        <w:numPr>
          <w:ilvl w:val="0"/>
          <w:numId w:val="2"/>
        </w:numPr>
        <w:tabs>
          <w:tab w:val="left" w:pos="39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ремонт дорожного покрытия улиц поселения;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Для обеспечения повышения качества жизни и развития человеческого потенциала, помимо перечисленных выше мер в сферах ЖКХ будут реализованы стратегические инициативы</w:t>
      </w:r>
      <w:r w:rsidRPr="0036494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приоритетном направлении выделяется работа с молодежью: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 профилактика асоциальных явлений среди жителей станицы;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поддержка творческой и талантливой молодежи;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патриотическое воспитание молодежи;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поддержка деятельности молодежных и детских организаций;</w:t>
      </w:r>
    </w:p>
    <w:p w:rsidR="00364941" w:rsidRPr="00364941" w:rsidRDefault="00364941" w:rsidP="0036494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- выявление и проведение профилактической работы с семьями социального риска и трудными подростками.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Социальная инфраструктура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На территории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Усть-Лабинского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находятся одна школа, в которых обучается 577 учащихся  и  преподавательский состав в количестве 62 человека.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Медицинское обслуживание населения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осуществляется сельской  амбулаторией работает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два врача. Населенный пункт обслуживает машина скорой помощи, но здание больницы требует капитального ремонта. Будет 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строится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ФАП.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Садик посещает 210   детей, работает 47 персонала, на сегодняшний момент в очереди стоят 98 детей. Очень назрела необходимость в расширении существующего садика.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Усть-Лабинского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расположены МКУК «КДЦ «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Кирпильский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». При «КДЦ» работают кружки различной направленности, имеется зрительный зал на 600 мест. МКУК «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Кирпильская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сельская библиотека».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Муниципальное казенное учреждение культуры «Культурно –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0"/>
          <w:lang w:eastAsia="zh-CN"/>
        </w:rPr>
        <w:t>досуговый центр «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0"/>
          <w:lang w:eastAsia="zh-CN"/>
        </w:rPr>
        <w:t>Кирпильский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»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0"/>
          <w:lang w:eastAsia="zh-CN"/>
        </w:rPr>
        <w:t>Кирпильского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сельского поселения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0"/>
          <w:lang w:eastAsia="zh-CN"/>
        </w:rPr>
        <w:t>Усть-Лабинский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 находится на балансе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0"/>
          <w:lang w:eastAsia="zh-CN"/>
        </w:rPr>
        <w:t>Кирпильского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сельского поселения.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Учреждение имеет площадь 2900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0"/>
          <w:lang w:eastAsia="zh-CN"/>
        </w:rPr>
        <w:t>кв.м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В Культурно-досуговом центре 90 помещений, из них 13 – досуговые помещения, библиотека, зрительный зал  - </w:t>
      </w:r>
      <w:r w:rsidRPr="00364941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>на 609 посадочных мест.</w:t>
      </w:r>
    </w:p>
    <w:p w:rsidR="00364941" w:rsidRPr="00364941" w:rsidRDefault="00364941" w:rsidP="003649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Приоритетными направлениями в работе в 2015 году являлись:</w:t>
      </w:r>
    </w:p>
    <w:p w:rsidR="00364941" w:rsidRPr="00364941" w:rsidRDefault="00364941" w:rsidP="003649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-патриотизм, уважение к культуре Отечества и истории, родному языку.</w:t>
      </w:r>
    </w:p>
    <w:p w:rsidR="00364941" w:rsidRPr="00364941" w:rsidRDefault="00364941" w:rsidP="003649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-сохранение исторического и культурного наследия (развитие народной культуры, возрождение традиций Кубанского казачества)</w:t>
      </w:r>
    </w:p>
    <w:p w:rsidR="00364941" w:rsidRPr="00364941" w:rsidRDefault="00364941" w:rsidP="003649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-развитая политическая культура и способность к осознанному социально-политическому выбору;</w:t>
      </w:r>
    </w:p>
    <w:p w:rsidR="00364941" w:rsidRPr="00364941" w:rsidRDefault="00364941" w:rsidP="003649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-верность Родине и воинской присяге, единство слова и дела, необходимый уровень физического развития;</w:t>
      </w:r>
    </w:p>
    <w:p w:rsidR="00364941" w:rsidRPr="00364941" w:rsidRDefault="00364941" w:rsidP="003649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-моральная стойкость, традиционные нравственные ценности, развитие гражданского самосознания, законность, способность отстаивать свои и уважать чужие права;</w:t>
      </w:r>
    </w:p>
    <w:p w:rsidR="00364941" w:rsidRPr="00364941" w:rsidRDefault="00364941" w:rsidP="003649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-добросовестное отношение к производственному труду, умение достигать успехов в профессиональной деятельности;</w:t>
      </w:r>
    </w:p>
    <w:p w:rsidR="00364941" w:rsidRPr="00364941" w:rsidRDefault="00364941" w:rsidP="003649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-организация культурно-досуговой деятельности выставок, конкурсов, фестивалей, проведение праздников, юбилейных мероприятий, работа клубов и любительских объединений, содействие инициативе населения в его творческом становлении и росте;</w:t>
      </w:r>
    </w:p>
    <w:p w:rsidR="00364941" w:rsidRPr="00364941" w:rsidRDefault="00364941" w:rsidP="003649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-выявление и поддержка молодых дарований;</w:t>
      </w:r>
    </w:p>
    <w:p w:rsidR="00364941" w:rsidRPr="00364941" w:rsidRDefault="00364941" w:rsidP="003649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- реализация целевых программ.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Анализируя работу КДЦ в 2015 году, работа прошла плодотворно. По сравнению с 2014 годом наблюдается увеличение количества присутствующих на мероприятиях, и увеличение количества проводимых мероприятий. Так как увеличилась посещаемость, значит, повысилось качество проводимых мероприятий, увеличилась сумма платных услуг. Население получает отдых и массу интересных впечатлений.   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Очень много посетителей младшего, молодежного и старшего возраста. Хотелось бы, чтобы люди среднего возраста проявили  больший  интерес к работе культурно-досугового центра.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</w:t>
      </w: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Участники и руководители кружков и клубов в течение года активно участвовали во многих краевых, районных конкурсах и фестивалях.            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В 2016 году планируются творческие мероприятия ко всем календарным праздникам и учебные мероприятия для детей и взрослых: мастер-классы, кинолектории, беседы, часы творчества и многое другое. В 2015 году благодаря помощи депутата Законодательного Собрания Краснодарского края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Штовхань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Андрея Юрьевича в КДЦ «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Кирпильский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заменены окна на пластиковые всего 65 окон на  что потрачено 528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.р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ублей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 территории сельского поселения работает МКУ «Мотодром». Работают секции по футболу, волейболу, баскетболу, гиревому спорту, каратэ, которые посещают жители поселения.  Имеется спортивная площадка с искусственным покрытием и детская игровая площадка.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Основными проблемами в социальной сфере являются: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-уровень бедности,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недостаточное качество жизни населения,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высокий % населения    имеют доход ниже прожиточного минимума,  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смертность в трудоспособном возрасте;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дисбаланс уровня заработной платы по отраслям экономики.                    </w:t>
      </w:r>
      <w:r w:rsidRPr="0036494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</w:t>
      </w:r>
    </w:p>
    <w:p w:rsidR="00364941" w:rsidRPr="00364941" w:rsidRDefault="00364941" w:rsidP="00364941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lang w:eastAsia="zh-CN"/>
        </w:rPr>
      </w:pPr>
      <w:r w:rsidRPr="00364941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ab/>
        <w:t>Основными направлениями молодежной политики администрации поселения являются: трудоустройство молодежи, развитие сети досуговых учреждений, поддержка инициативной и талантливой молодежи, создание условий для адаптации в обществе молодежи, находящейся в трудной жизненной ситуации.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снижаются темпы 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крае» (так называемый «детский закон»). 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Подтверждением этому является число выявляемых в ночное время несовершеннолетних, снижение подростковой преступности. </w:t>
      </w:r>
    </w:p>
    <w:p w:rsidR="00364941" w:rsidRPr="00364941" w:rsidRDefault="00364941" w:rsidP="0036494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С начала действия «детского закона» с ночных улиц   поселения удалось вернуть родителям около 171 несовершеннолетних, из них в 2015 году - 16 человек.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 это не значит, что наши все дети после 22.00 находятся дома. И многие родители об этом знают и сидят дома спокойно. Их не интересует, где ребенок находится ночью. И сколько бы мы не дежурили, дети будут прятаться, пока все ми родителями не будет соблюдаться данный закон. Хочется сказать, что в данный закон внесены изменения об административном наказании родителей за необеспечение мер по содействию физическому, духовному и нравственному развитию детей (другими словами: ребенок после 22.00 должен находиться дома) и штрафы заметно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возрасли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 нас много хороших, талантливых ребят. В этом вы неоднократно убеждались. Просто ими мы с вами мало занимаемся. Для этого необходимы усилия всех живущих в поселении, и прежде всего родителей. Я понимаю, что в такое трудное время родители думают о том, как прокормить свое чадо, забывая о его воспитании. Но дети – наше будущее. И что мы заложим сейчас, то получим в старости. Считаю, что и общественности надо больше уделять внимание нашим детям, проявлять инициативу в воспитании подрастающего поколения. Нужно искать более эффективные меры воздействия на них, привлекать к общественной жизни станицы.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Хотелось бы еще поговорить об отношении жителей станицы к участию в проведении субботников, уборке придомовых территорий. А то около одних дворов цветы цветут у других мусор. Что у нас делается на кладбище, мусор везде по периметру и со станицы стали нести в мешках. А внутри !!! от своих могилок отгребли и благополучно положили на соседскую, часто забываем вообще убирать могилки родственников, не задумываясь какой пример подаем детям, внукам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ведь и наше место таким будет когда-то. В 2014 году меня наказали за свалку расположенную в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ст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.К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ирпильской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она закрыта, как закрыта и районная свалка для частного сектора. У нас создана служба по сбору и вывозу ТБО, можно и нужно заключать договора, ТБО будем вывозить. Охват составляет 22,2 % от всех </w:t>
      </w: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домовладений, кто заключил договора. Спрашивается куда деваем мусор. Вывозим в посадки, сад, 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над дорогами, в реку.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Реки, на нашей памяти, это были полноводные водные артели, а сейчас  несем в реки мусор, падаль и прочее. Во что превратили мосты, ездим по грязи, разбиваем. В этом году благодаря активным действиям фермеров Нечаева И.Д., Купреева А.И., Афанасьева К.Н.,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Нечетайлова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С.Н.,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Кутняховой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С.М.,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Завгороднего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П.В.,  за что им отдельное спасибо, мы сможем отремонтировать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Примин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мост, куда было привезено порядка 300 м3 грунта, глины и камней. Одновременно, с парка убрали остатки старой церкви и со школы остатки от фундаментов резервуаров, и через мост стало возможным проехать на автомобиле. 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Благодаря спонсорской помощи 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/п «Нива» АО фирма «Агрокомплекс», Калугину Юрию Алексеевичу были выделены материалы и сделан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Стретеев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мостик для перехода жителей . В этой работе активно участвовал фермер Кваша Александр Александрович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Ещё раз хочу остановиться на том, что мы с вами сделали, приобрели. Давайте беречь. Никто не придет и ничего бесплатно не сделает. Мы это уже с вами проходили. Многие из нас имеют потребительское отношение к сфере услуг и быта, но закончились времена бесплатного сыра. Для газификации, водоснабжения нужно создавать кооперативы, участвовать в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софинансировании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, а не быть сторонними наблюдателями, активно участвовать в общественной жизни, уборке территорий, содержание собак.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прошлых сессиях мы с Вами договаривались об улучшении санитарного состояния станицы сдвиг небольшой, как и раньше договора на вывоз мусора заключаются плохо, около дворов (оговорюсь не у всех) мусор, кучи гравия, техника, бумага. Позвольте задать вопрос Вам, что приятно жить в таком состоянии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?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администрации Вы предъявляете требования, то не сделано, другое, а сами то, как себя ведёте, посмотрите со стороны на свой двор на себя, а всё ли я 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сделал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чтобы мне и моему соседу жилось хорошо. Сейчас весна пошёл гон собак все жалуются пройти нельзя, отстреляли осенью 13-15 шт. с 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ошейниками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т.е. все домашние, надо содержать или на привязи или в вольере, другого не дано.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Дорогие земляки!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4941" w:rsidRPr="00364941" w:rsidRDefault="00364941" w:rsidP="003649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Сегодня подводя итоги работы за 2015 год администрации поселения и моей лично, как главы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 </w:t>
      </w:r>
    </w:p>
    <w:p w:rsidR="00364941" w:rsidRPr="00364941" w:rsidRDefault="00364941" w:rsidP="003649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Хочу отметить, что благодаря конструктивной, слаженной работе органов местного самоуправления, депутатского корпуса, руководителей предприятий и организаций, предпринимателей поселения, при помощи и поддержке администрации и депутатов Законодательного собрания Краснодарского края, главы администрации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Усть-Лабинского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района, заместителей главы, специалистов администрации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Усть-Лабинского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положительная динамика достигнута  по основным направлениям экономической деятельности и в социальной сфере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</w:t>
      </w: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поселения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Усть-Лабинского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района.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Вместе с тем, по ряду направлений работы мы не достигли желаемых результатов, допустили недоработки и ошибки. Поэтому нужно целенаправленно и напряженно трудиться в текущем году с целью устранения  этих  недостатков.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В заключение я бы хоте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поблагодарить  администрацию, депутатов Законодательного Собрания Краснодарского края, главу МО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Усть-Лабинский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район, специалистов администрации МО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Усть-Лабинский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район, депутатов Совета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Усть-Лабинского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района, наш актив, квартальных, Совет ветеранов, за ту 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поддержку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которую вы оказали администрации поселения на пути ее становления и развития за всё, что мы смогли сделать для поселения в прошлом году и выразить надежду на то, что 2016 год станет для нас временем плодотворной совместной работы, направленной, прежде всего, на повышение уровня благосостояния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Кирпильского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в целом и улучшение качества жизни каждого нашего земляка.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Проблемные вопросы </w:t>
      </w:r>
      <w:proofErr w:type="spellStart"/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Кирпильского</w:t>
      </w:r>
      <w:proofErr w:type="spellEnd"/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  <w:proofErr w:type="gramStart"/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:</w:t>
      </w:r>
      <w:proofErr w:type="gramEnd"/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4941" w:rsidRPr="00364941" w:rsidRDefault="00364941" w:rsidP="0036494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Увеличение числа мест в дошкольном учреждении.</w:t>
      </w:r>
    </w:p>
    <w:p w:rsidR="00364941" w:rsidRPr="00364941" w:rsidRDefault="00364941" w:rsidP="0036494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Строительство ФАП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 на 2016 год: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Газификация: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4941" w:rsidRPr="00364941" w:rsidRDefault="00364941" w:rsidP="00364941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Получить положительное заключение экспертизы и построить газопровод по улице Советской от дома № 152 через объездную дорогу.</w:t>
      </w:r>
    </w:p>
    <w:p w:rsidR="00364941" w:rsidRPr="00364941" w:rsidRDefault="00364941" w:rsidP="00364941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Продолжить подготовку документов по газификации станицы.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Ремонт дорог: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4941" w:rsidRPr="00364941" w:rsidRDefault="00364941" w:rsidP="0036494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Отремонтировать тротуар по улице Красной от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ул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.С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тепной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ул.Советской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64941" w:rsidRPr="00364941" w:rsidRDefault="00364941" w:rsidP="0036494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Произвести </w:t>
      </w:r>
      <w:proofErr w:type="spell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грейдирование</w:t>
      </w:r>
      <w:proofErr w:type="spell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дорог, установку знаков и разметки.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Водоснабжение: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Сделать техническую документацию на существующие водопроводы и получить свидетельство </w:t>
      </w:r>
      <w:proofErr w:type="gramStart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право в</w:t>
      </w:r>
      <w:proofErr w:type="gramEnd"/>
      <w:r w:rsidRPr="00364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юстиции на их.</w:t>
      </w: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4941" w:rsidRPr="00364941" w:rsidRDefault="00364941" w:rsidP="0036494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04A6" w:rsidRPr="00364941" w:rsidRDefault="00A304A6" w:rsidP="00364941"/>
    <w:sectPr w:rsidR="00A304A6" w:rsidRPr="0036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166661"/>
    <w:multiLevelType w:val="hybridMultilevel"/>
    <w:tmpl w:val="C478D6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CD40E5"/>
    <w:multiLevelType w:val="hybridMultilevel"/>
    <w:tmpl w:val="52BEA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A6"/>
    <w:rsid w:val="00364941"/>
    <w:rsid w:val="003F4A8A"/>
    <w:rsid w:val="00A3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4032</Words>
  <Characters>22986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2016-02-08T06:47:00Z</dcterms:created>
  <dcterms:modified xsi:type="dcterms:W3CDTF">2016-02-08T06:55:00Z</dcterms:modified>
</cp:coreProperties>
</file>